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宋体" w:hAnsi="宋体"/>
          <w:b w:val="0"/>
          <w:bCs w:val="0"/>
          <w:sz w:val="28"/>
          <w:szCs w:val="28"/>
        </w:rPr>
      </w:pPr>
      <w:bookmarkStart w:id="0" w:name="_Toc142890354"/>
      <w:r>
        <w:rPr>
          <w:rFonts w:hint="eastAsia" w:ascii="宋体" w:hAnsi="宋体"/>
          <w:b w:val="0"/>
          <w:bCs w:val="0"/>
          <w:sz w:val="28"/>
          <w:szCs w:val="28"/>
        </w:rPr>
        <w:t>宁陕县行政审批服务局</w:t>
      </w:r>
    </w:p>
    <w:p>
      <w:pPr>
        <w:adjustRightInd w:val="0"/>
        <w:spacing w:line="560" w:lineRule="exact"/>
        <w:jc w:val="center"/>
        <w:rPr>
          <w:rFonts w:hint="eastAsia" w:ascii="宋体" w:hAnsi="宋体"/>
          <w:b w:val="0"/>
          <w:bCs w:val="0"/>
          <w:sz w:val="28"/>
          <w:szCs w:val="28"/>
        </w:rPr>
      </w:pPr>
      <w:r>
        <w:rPr>
          <w:rFonts w:hint="eastAsia" w:ascii="宋体" w:hAnsi="宋体"/>
          <w:b w:val="0"/>
          <w:bCs w:val="0"/>
          <w:sz w:val="28"/>
          <w:szCs w:val="28"/>
        </w:rPr>
        <w:t>同意设置宁陕县筒车湾镇污水处理厂排污口的决定书</w:t>
      </w:r>
    </w:p>
    <w:p>
      <w:pPr>
        <w:adjustRightInd w:val="0"/>
        <w:spacing w:line="360" w:lineRule="exact"/>
        <w:ind w:right="808"/>
        <w:jc w:val="right"/>
        <w:rPr>
          <w:rFonts w:hint="eastAsia" w:ascii="宋体" w:hAnsi="宋体"/>
          <w:spacing w:val="-4"/>
          <w:szCs w:val="21"/>
        </w:rPr>
      </w:pP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31</w:t>
      </w:r>
      <w:r>
        <w:rPr>
          <w:rFonts w:hint="eastAsia" w:ascii="宋体" w:hAnsi="宋体"/>
          <w:spacing w:val="-4"/>
          <w:szCs w:val="21"/>
        </w:rPr>
        <w:t xml:space="preserve">号 </w:t>
      </w:r>
      <w:r>
        <w:rPr>
          <w:rFonts w:ascii="宋体" w:hAnsi="宋体"/>
          <w:spacing w:val="-4"/>
          <w:szCs w:val="21"/>
        </w:rPr>
        <w:t xml:space="preserve">         </w:t>
      </w:r>
    </w:p>
    <w:p>
      <w:pPr>
        <w:adjustRightInd w:val="0"/>
        <w:spacing w:line="360" w:lineRule="exact"/>
        <w:rPr>
          <w:rFonts w:hint="eastAsia" w:ascii="宋体" w:hAnsi="宋体"/>
          <w:kern w:val="0"/>
          <w:sz w:val="21"/>
          <w:szCs w:val="21"/>
          <w:lang w:val="zh-TW" w:eastAsia="zh-TW"/>
        </w:rPr>
      </w:pPr>
      <w:r>
        <w:rPr>
          <w:rFonts w:hint="eastAsia" w:ascii="宋体" w:hAnsi="宋体"/>
          <w:kern w:val="0"/>
          <w:sz w:val="21"/>
          <w:szCs w:val="21"/>
        </w:rPr>
        <w:t>宁陕县住房和城乡建设局</w:t>
      </w:r>
      <w:r>
        <w:rPr>
          <w:rFonts w:ascii="宋体" w:hAnsi="宋体"/>
          <w:kern w:val="0"/>
          <w:sz w:val="21"/>
          <w:szCs w:val="21"/>
          <w:lang w:val="zh-TW" w:eastAsia="zh-TW"/>
        </w:rPr>
        <w:t>：</w:t>
      </w:r>
    </w:p>
    <w:p>
      <w:pPr>
        <w:pStyle w:val="10"/>
        <w:adjustRightInd w:val="0"/>
        <w:spacing w:before="0" w:line="360" w:lineRule="exact"/>
        <w:ind w:left="0" w:firstLine="396" w:firstLineChars="200"/>
        <w:jc w:val="both"/>
        <w:rPr>
          <w:rFonts w:ascii="Times New Roman" w:hAnsi="Times New Roman" w:eastAsia="宋体"/>
          <w:spacing w:val="-6"/>
          <w:sz w:val="21"/>
          <w:szCs w:val="21"/>
          <w:lang w:eastAsia="zh-CN"/>
        </w:rPr>
      </w:pPr>
      <w:r>
        <w:rPr>
          <w:rFonts w:ascii="Times New Roman" w:hAnsi="Times New Roman" w:eastAsia="宋体"/>
          <w:spacing w:val="-6"/>
          <w:sz w:val="21"/>
          <w:szCs w:val="21"/>
          <w:lang w:eastAsia="zh-CN"/>
        </w:rPr>
        <w:t>你单位于2025年</w:t>
      </w:r>
      <w:r>
        <w:rPr>
          <w:rFonts w:hint="eastAsia" w:ascii="Times New Roman" w:hAnsi="Times New Roman" w:eastAsia="宋体"/>
          <w:spacing w:val="-6"/>
          <w:sz w:val="21"/>
          <w:szCs w:val="21"/>
          <w:lang w:eastAsia="zh-CN"/>
        </w:rPr>
        <w:t>3</w:t>
      </w:r>
      <w:r>
        <w:rPr>
          <w:rFonts w:ascii="Times New Roman" w:hAnsi="Times New Roman" w:eastAsia="宋体"/>
          <w:spacing w:val="-6"/>
          <w:sz w:val="21"/>
          <w:szCs w:val="21"/>
          <w:lang w:eastAsia="zh-CN"/>
        </w:rPr>
        <w:t>月</w:t>
      </w:r>
      <w:r>
        <w:rPr>
          <w:rFonts w:hint="eastAsia" w:ascii="Times New Roman" w:hAnsi="Times New Roman" w:eastAsia="宋体"/>
          <w:spacing w:val="-6"/>
          <w:sz w:val="21"/>
          <w:szCs w:val="21"/>
          <w:lang w:val="en-US" w:eastAsia="zh-CN"/>
        </w:rPr>
        <w:t>27</w:t>
      </w:r>
      <w:r>
        <w:rPr>
          <w:rFonts w:ascii="Times New Roman" w:hAnsi="Times New Roman" w:eastAsia="宋体"/>
          <w:spacing w:val="-6"/>
          <w:sz w:val="21"/>
          <w:szCs w:val="21"/>
          <w:lang w:eastAsia="zh-CN"/>
        </w:rPr>
        <w:t>日向我</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提出了</w:t>
      </w:r>
      <w:r>
        <w:rPr>
          <w:rFonts w:hint="eastAsia" w:ascii="Times New Roman" w:hAnsi="Times New Roman" w:eastAsia="宋体"/>
          <w:spacing w:val="-6"/>
          <w:sz w:val="21"/>
          <w:szCs w:val="21"/>
          <w:lang w:eastAsia="zh-CN"/>
        </w:rPr>
        <w:t>宁陕县筒车湾镇污水处理厂排污口</w:t>
      </w:r>
      <w:r>
        <w:rPr>
          <w:rFonts w:ascii="Times New Roman" w:hAnsi="Times New Roman" w:eastAsia="宋体"/>
          <w:spacing w:val="-6"/>
          <w:sz w:val="21"/>
          <w:szCs w:val="21"/>
          <w:lang w:eastAsia="zh-CN"/>
        </w:rPr>
        <w:t>设置申请。经审查，根据《中华人民共和国行政许可法》《入河排污口监督管理办法》（生态环境部令第35号）的规定，同意</w:t>
      </w:r>
      <w:r>
        <w:rPr>
          <w:rFonts w:hint="eastAsia" w:ascii="Times New Roman" w:hAnsi="Times New Roman" w:eastAsia="宋体"/>
          <w:spacing w:val="-6"/>
          <w:sz w:val="21"/>
          <w:szCs w:val="21"/>
          <w:lang w:eastAsia="zh-CN"/>
        </w:rPr>
        <w:t>宁陕县筒车湾镇污水处理厂排污口</w:t>
      </w:r>
      <w:r>
        <w:rPr>
          <w:rFonts w:ascii="Times New Roman" w:hAnsi="Times New Roman" w:eastAsia="宋体"/>
          <w:spacing w:val="-6"/>
          <w:sz w:val="21"/>
          <w:szCs w:val="21"/>
          <w:lang w:eastAsia="zh-CN"/>
        </w:rPr>
        <w:t>设置决定如下：</w:t>
      </w:r>
    </w:p>
    <w:tbl>
      <w:tblPr>
        <w:tblStyle w:val="36"/>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szCs w:val="20"/>
              </w:rPr>
              <w:sym w:font="Wingdings 2" w:char="00A3"/>
            </w:r>
            <w:r>
              <w:rPr>
                <w:rFonts w:hint="eastAsia"/>
              </w:rPr>
              <w:t>工矿企业入河排污口</w:t>
            </w:r>
          </w:p>
          <w:p>
            <w:pPr>
              <w:widowControl/>
              <w:spacing w:line="360" w:lineRule="exact"/>
            </w:pPr>
            <w:r>
              <w:rPr>
                <w:szCs w:val="20"/>
              </w:rPr>
              <w:sym w:font="Wingdings 2" w:char="00A3"/>
            </w:r>
            <w:r>
              <w:rPr>
                <w:rFonts w:hint="eastAsia"/>
              </w:rPr>
              <w:t>工业及其他各类园区污水处理厂入河排污口</w:t>
            </w:r>
          </w:p>
          <w:p>
            <w:pPr>
              <w:widowControl/>
              <w:spacing w:line="360" w:lineRule="exact"/>
            </w:pPr>
            <w:r>
              <w:rPr>
                <w:szCs w:val="20"/>
              </w:rPr>
              <w:sym w:font="Wingdings 2" w:char="0052"/>
            </w:r>
            <w:r>
              <w:rPr>
                <w:rFonts w:hint="eastAsia"/>
              </w:rPr>
              <w:t>城镇污水处理厂入河排污口</w:t>
            </w:r>
          </w:p>
          <w:p>
            <w:pPr>
              <w:widowControl/>
              <w:spacing w:line="360" w:lineRule="exact"/>
            </w:pPr>
            <w:r>
              <w:rPr>
                <w:szCs w:val="20"/>
              </w:rPr>
              <w:sym w:font="Wingdings 2" w:char="00A3"/>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szCs w:val="20"/>
              </w:rPr>
            </w:pPr>
            <w:r>
              <w:rPr>
                <w:rFonts w:hint="eastAsia"/>
                <w:spacing w:val="-6"/>
                <w:szCs w:val="21"/>
              </w:rPr>
              <w:t>安康市宁陕县筒车湾镇污水处理厂排污口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szCs w:val="20"/>
              </w:rPr>
              <w:t>FG-610923-0007-SH-00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szCs w:val="20"/>
              </w:rPr>
              <w:sym w:font="Wingdings 2" w:char="0052"/>
            </w:r>
            <w:r>
              <w:rPr>
                <w:rFonts w:hint="eastAsia"/>
                <w:szCs w:val="21"/>
              </w:rPr>
              <w:t>新设</w:t>
            </w:r>
            <w:r>
              <w:rPr>
                <w:szCs w:val="20"/>
              </w:rPr>
              <w:t xml:space="preserve">  </w:t>
            </w:r>
            <w:r>
              <w:rPr>
                <w:szCs w:val="20"/>
              </w:rPr>
              <w:sym w:font="Wingdings 2" w:char="00A3"/>
            </w:r>
            <w:r>
              <w:rPr>
                <w:rFonts w:hint="eastAsia"/>
                <w:szCs w:val="21"/>
              </w:rPr>
              <w:t>改设</w:t>
            </w:r>
            <w:r>
              <w:rPr>
                <w:szCs w:val="20"/>
              </w:rPr>
              <w:t xml:space="preserve">  </w:t>
            </w:r>
            <w:r>
              <w:rPr>
                <w:szCs w:val="20"/>
              </w:rPr>
              <w:sym w:font="Wingdings 2" w:char="00A3"/>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widowControl/>
              <w:spacing w:line="360" w:lineRule="exact"/>
              <w:rPr>
                <w:kern w:val="0"/>
                <w:szCs w:val="21"/>
              </w:rPr>
            </w:pPr>
            <w:r>
              <w:rPr>
                <w:rFonts w:hint="eastAsia"/>
                <w:kern w:val="0"/>
                <w:szCs w:val="21"/>
              </w:rPr>
              <w:t>责任主体名称：</w:t>
            </w:r>
            <w:r>
              <w:rPr>
                <w:rFonts w:hint="eastAsia"/>
                <w:szCs w:val="20"/>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kern w:val="0"/>
                <w:szCs w:val="21"/>
              </w:rPr>
            </w:pPr>
            <w:r>
              <w:rPr>
                <w:rFonts w:hint="eastAsia"/>
                <w:szCs w:val="21"/>
              </w:rPr>
              <w:t>陕西省安康市宁陕县</w:t>
            </w:r>
            <w:r>
              <w:rPr>
                <w:kern w:val="0"/>
                <w:szCs w:val="21"/>
              </w:rPr>
              <w:t>城关镇子午路9号豪迈客运中心4楼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t>姓名：</w:t>
            </w:r>
            <w:r>
              <w:rPr>
                <w:rFonts w:hint="eastAsia"/>
              </w:rPr>
              <w:t>张富林</w:t>
            </w:r>
            <w:r>
              <w:t xml:space="preserve"> </w:t>
            </w:r>
            <w:r>
              <w:rPr>
                <w:lang w:val="en"/>
              </w:rPr>
              <w:t xml:space="preserve"> </w:t>
            </w:r>
            <w:r>
              <w:t xml:space="preserve">  </w:t>
            </w:r>
            <w:r>
              <w:rPr>
                <w:lang w:val="en"/>
              </w:rPr>
              <w:t xml:space="preserve">  </w:t>
            </w:r>
            <w:r>
              <w:t xml:space="preserve">    </w:t>
            </w:r>
            <w:r>
              <w:rPr>
                <w:szCs w:val="21"/>
              </w:rPr>
              <w:t>联系电话：0915-6822954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rPr>
              <w:t>D4620污水处理及再生利用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pPr>
            <w:r>
              <w:t>11610923011052622p001U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rPr>
              <w:t>陕西省安康市宁陕县筒车湾镇许家城村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排入水体名称：汶水河</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所在流域：长江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20" w:lineRule="exact"/>
              <w:rPr>
                <w:szCs w:val="20"/>
              </w:rPr>
            </w:pPr>
            <w:r>
              <w:rPr>
                <w:szCs w:val="20"/>
              </w:rPr>
              <w:t>经度：</w:t>
            </w:r>
            <w:r>
              <w:rPr>
                <w:rFonts w:eastAsia="仿宋_GB2312"/>
                <w:szCs w:val="21"/>
              </w:rPr>
              <w:t>108.213961°</w:t>
            </w:r>
          </w:p>
          <w:p>
            <w:pPr>
              <w:widowControl/>
              <w:spacing w:line="360" w:lineRule="exact"/>
              <w:rPr>
                <w:szCs w:val="21"/>
              </w:rPr>
            </w:pPr>
            <w:r>
              <w:rPr>
                <w:szCs w:val="20"/>
              </w:rPr>
              <w:t>纬度：33.391013</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szCs w:val="20"/>
              </w:rPr>
              <w:sym w:font="Wingdings 2" w:char="0052"/>
            </w:r>
            <w:r>
              <w:rPr>
                <w:rFonts w:hint="eastAsia"/>
                <w:szCs w:val="20"/>
              </w:rPr>
              <w:t>连续</w:t>
            </w:r>
            <w:r>
              <w:rPr>
                <w:szCs w:val="20"/>
              </w:rPr>
              <w:t xml:space="preserve"> </w:t>
            </w:r>
          </w:p>
          <w:p>
            <w:pPr>
              <w:widowControl/>
              <w:spacing w:line="360" w:lineRule="exact"/>
              <w:rPr>
                <w:szCs w:val="20"/>
              </w:rPr>
            </w:pPr>
            <w:r>
              <w:rPr>
                <w:szCs w:val="20"/>
              </w:rPr>
              <w:sym w:font="Wingdings 2" w:char="00A3"/>
            </w:r>
            <w:r>
              <w:rPr>
                <w:rFonts w:hint="eastAsia"/>
                <w:szCs w:val="20"/>
              </w:rPr>
              <w:t>间歇</w:t>
            </w:r>
          </w:p>
        </w:tc>
        <w:tc>
          <w:tcPr>
            <w:tcW w:w="851" w:type="dxa"/>
            <w:vMerge w:val="restart"/>
            <w:vAlign w:val="center"/>
          </w:tcPr>
          <w:p>
            <w:pPr>
              <w:widowControl/>
              <w:spacing w:line="360" w:lineRule="exact"/>
              <w:ind w:right="-105" w:rightChars="-50"/>
              <w:jc w:val="center"/>
              <w:rPr>
                <w:szCs w:val="20"/>
              </w:rPr>
            </w:pPr>
            <w:r>
              <w:rPr>
                <w:rFonts w:hint="eastAsia"/>
                <w:szCs w:val="20"/>
              </w:rPr>
              <w:t>入河</w:t>
            </w:r>
          </w:p>
          <w:p>
            <w:pPr>
              <w:widowControl/>
              <w:spacing w:line="360" w:lineRule="exact"/>
              <w:ind w:right="-105" w:rightChars="-50"/>
              <w:jc w:val="center"/>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szCs w:val="20"/>
              </w:rPr>
              <w:sym w:font="Wingdings 2" w:char="00A3"/>
            </w:r>
            <w:r>
              <w:rPr>
                <w:rFonts w:hint="eastAsia"/>
                <w:szCs w:val="20"/>
              </w:rPr>
              <w:t>明渠</w:t>
            </w:r>
            <w:r>
              <w:rPr>
                <w:szCs w:val="20"/>
              </w:rPr>
              <w:t xml:space="preserve">  </w:t>
            </w:r>
            <w:r>
              <w:rPr>
                <w:szCs w:val="20"/>
              </w:rPr>
              <w:sym w:font="Wingdings 2" w:char="0052"/>
            </w:r>
            <w:r>
              <w:rPr>
                <w:rFonts w:hint="eastAsia"/>
                <w:szCs w:val="20"/>
              </w:rPr>
              <w:t>管道</w:t>
            </w:r>
          </w:p>
          <w:p>
            <w:pPr>
              <w:spacing w:line="360" w:lineRule="exact"/>
              <w:ind w:firstLine="315" w:firstLineChars="150"/>
              <w:rPr>
                <w:szCs w:val="20"/>
              </w:rPr>
            </w:pPr>
            <w:r>
              <w:rPr>
                <w:szCs w:val="20"/>
              </w:rPr>
              <w:sym w:font="Wingdings 2" w:char="00A3"/>
            </w:r>
            <w:r>
              <w:rPr>
                <w:rFonts w:hint="eastAsia"/>
                <w:szCs w:val="20"/>
              </w:rPr>
              <w:t>泵站</w:t>
            </w:r>
            <w:r>
              <w:rPr>
                <w:szCs w:val="20"/>
              </w:rPr>
              <w:t xml:space="preserve">  </w:t>
            </w:r>
            <w:r>
              <w:rPr>
                <w:szCs w:val="20"/>
              </w:rPr>
              <w:sym w:font="Wingdings 2" w:char="00A3"/>
            </w:r>
            <w:r>
              <w:rPr>
                <w:rFonts w:hint="eastAsia"/>
                <w:szCs w:val="20"/>
              </w:rPr>
              <w:t>涵闸</w:t>
            </w:r>
          </w:p>
          <w:p>
            <w:pPr>
              <w:widowControl/>
              <w:spacing w:line="360" w:lineRule="exact"/>
              <w:ind w:firstLine="315" w:firstLineChars="150"/>
              <w:rPr>
                <w:szCs w:val="20"/>
              </w:rPr>
            </w:pPr>
            <w:r>
              <w:rPr>
                <w:szCs w:val="20"/>
              </w:rPr>
              <w:sym w:font="Wingdings 2" w:char="00A3"/>
            </w:r>
            <w:r>
              <w:rPr>
                <w:rFonts w:hint="eastAsia"/>
                <w:szCs w:val="20"/>
              </w:rPr>
              <w:t>箱涵</w:t>
            </w:r>
            <w:r>
              <w:rPr>
                <w:szCs w:val="20"/>
              </w:rPr>
              <w:t xml:space="preserve">  </w:t>
            </w:r>
            <w:r>
              <w:rPr>
                <w:szCs w:val="20"/>
              </w:rPr>
              <w:sym w:font="Wingdings 2" w:char="00A3"/>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szCs w:val="20"/>
              </w:rPr>
              <w:sym w:font="Wingdings 2" w:char="00A3"/>
            </w:r>
            <w:r>
              <w:rPr>
                <w:rFonts w:hint="eastAsia"/>
                <w:szCs w:val="20"/>
              </w:rPr>
              <w:t>是</w:t>
            </w:r>
          </w:p>
          <w:p>
            <w:pPr>
              <w:widowControl/>
              <w:spacing w:line="360" w:lineRule="exact"/>
              <w:rPr>
                <w:szCs w:val="20"/>
              </w:rPr>
            </w:pPr>
            <w:r>
              <w:rPr>
                <w:szCs w:val="20"/>
              </w:rPr>
              <w:sym w:font="Wingdings 2" w:char="0052"/>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shd w:val="clear" w:color="auto" w:fill="auto"/>
            <w:vAlign w:val="center"/>
          </w:tcPr>
          <w:p>
            <w:pPr>
              <w:spacing w:line="300" w:lineRule="exact"/>
              <w:jc w:val="left"/>
              <w:rPr>
                <w:color w:val="000000"/>
                <w:szCs w:val="20"/>
              </w:rPr>
            </w:pPr>
            <w:r>
              <w:rPr>
                <w:szCs w:val="20"/>
              </w:rPr>
              <w:sym w:font="Wingdings 2" w:char="0052"/>
            </w:r>
            <w:r>
              <w:rPr>
                <w:szCs w:val="20"/>
              </w:rPr>
              <w:t>圆形截面：d=0.</w:t>
            </w:r>
            <w:r>
              <w:rPr>
                <w:rFonts w:hint="eastAsia"/>
                <w:szCs w:val="20"/>
              </w:rPr>
              <w:t>2</w:t>
            </w:r>
            <w:r>
              <w:rPr>
                <w:szCs w:val="20"/>
              </w:rPr>
              <w:t>m，S=0.</w:t>
            </w:r>
            <w:r>
              <w:rPr>
                <w:rFonts w:hint="eastAsia"/>
                <w:szCs w:val="20"/>
              </w:rPr>
              <w:t>031</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特殊时段（11月至2月）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COD</w:t>
            </w:r>
          </w:p>
        </w:tc>
        <w:tc>
          <w:tcPr>
            <w:tcW w:w="1133" w:type="dxa"/>
            <w:vAlign w:val="center"/>
          </w:tcPr>
          <w:p>
            <w:pPr>
              <w:widowControl/>
              <w:spacing w:line="320" w:lineRule="exact"/>
              <w:jc w:val="center"/>
              <w:rPr>
                <w:szCs w:val="20"/>
              </w:rPr>
            </w:pPr>
            <w:r>
              <w:rPr>
                <w:szCs w:val="20"/>
              </w:rPr>
              <w:t>50</w:t>
            </w:r>
          </w:p>
        </w:tc>
        <w:tc>
          <w:tcPr>
            <w:tcW w:w="1277" w:type="dxa"/>
            <w:gridSpan w:val="2"/>
            <w:vMerge w:val="restart"/>
            <w:vAlign w:val="center"/>
          </w:tcPr>
          <w:p>
            <w:pPr>
              <w:widowControl/>
              <w:spacing w:line="320" w:lineRule="exact"/>
              <w:jc w:val="center"/>
              <w:rPr>
                <w:szCs w:val="20"/>
              </w:rPr>
            </w:pPr>
            <w:r>
              <w:rPr>
                <w:rFonts w:hint="eastAsia"/>
                <w:szCs w:val="20"/>
              </w:rPr>
              <w:t>21.9</w:t>
            </w:r>
          </w:p>
        </w:tc>
        <w:tc>
          <w:tcPr>
            <w:tcW w:w="1134" w:type="dxa"/>
            <w:vAlign w:val="center"/>
          </w:tcPr>
          <w:p>
            <w:pPr>
              <w:widowControl/>
              <w:spacing w:line="320" w:lineRule="exact"/>
              <w:jc w:val="center"/>
              <w:rPr>
                <w:szCs w:val="20"/>
              </w:rPr>
            </w:pPr>
            <w:r>
              <w:rPr>
                <w:rFonts w:hint="eastAsia"/>
                <w:szCs w:val="20"/>
              </w:rPr>
              <w:t>10.95</w:t>
            </w:r>
          </w:p>
        </w:tc>
        <w:tc>
          <w:tcPr>
            <w:tcW w:w="1418" w:type="dxa"/>
            <w:vMerge w:val="restart"/>
            <w:vAlign w:val="center"/>
          </w:tcPr>
          <w:p>
            <w:pPr>
              <w:widowControl/>
              <w:spacing w:line="320" w:lineRule="exact"/>
              <w:jc w:val="center"/>
              <w:rPr>
                <w:szCs w:val="20"/>
              </w:rPr>
            </w:pPr>
            <w:r>
              <w:rPr>
                <w:rFonts w:hint="eastAsia"/>
                <w:szCs w:val="20"/>
              </w:rPr>
              <w:t>600</w:t>
            </w:r>
          </w:p>
        </w:tc>
        <w:tc>
          <w:tcPr>
            <w:tcW w:w="1153" w:type="dxa"/>
            <w:vAlign w:val="center"/>
          </w:tcPr>
          <w:p>
            <w:pPr>
              <w:widowControl/>
              <w:spacing w:line="320" w:lineRule="exact"/>
              <w:jc w:val="center"/>
              <w:rPr>
                <w:szCs w:val="20"/>
              </w:rPr>
            </w:pPr>
            <w:r>
              <w:rPr>
                <w:rFonts w:hint="eastAsia"/>
                <w:szCs w:val="20"/>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NH</w:t>
            </w:r>
            <w:r>
              <w:rPr>
                <w:szCs w:val="20"/>
                <w:vertAlign w:val="subscript"/>
              </w:rPr>
              <w:t>3</w:t>
            </w:r>
            <w:r>
              <w:rPr>
                <w:szCs w:val="20"/>
              </w:rPr>
              <w:t>-N</w:t>
            </w:r>
          </w:p>
        </w:tc>
        <w:tc>
          <w:tcPr>
            <w:tcW w:w="1133" w:type="dxa"/>
            <w:vAlign w:val="center"/>
          </w:tcPr>
          <w:p>
            <w:pPr>
              <w:widowControl/>
              <w:spacing w:line="320" w:lineRule="exact"/>
              <w:jc w:val="center"/>
              <w:rPr>
                <w:szCs w:val="20"/>
              </w:rPr>
            </w:pPr>
            <w:r>
              <w:rPr>
                <w:szCs w:val="20"/>
              </w:rPr>
              <w:t>5（8）</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1.095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TP</w:t>
            </w:r>
          </w:p>
        </w:tc>
        <w:tc>
          <w:tcPr>
            <w:tcW w:w="1133" w:type="dxa"/>
            <w:vAlign w:val="center"/>
          </w:tcPr>
          <w:p>
            <w:pPr>
              <w:widowControl/>
              <w:spacing w:line="320" w:lineRule="exact"/>
              <w:jc w:val="center"/>
              <w:rPr>
                <w:szCs w:val="20"/>
              </w:rPr>
            </w:pPr>
            <w:r>
              <w:rPr>
                <w:szCs w:val="20"/>
              </w:rPr>
              <w:t>0.5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0.1095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TN</w:t>
            </w:r>
          </w:p>
        </w:tc>
        <w:tc>
          <w:tcPr>
            <w:tcW w:w="1133" w:type="dxa"/>
            <w:vAlign w:val="center"/>
          </w:tcPr>
          <w:p>
            <w:pPr>
              <w:widowControl/>
              <w:spacing w:line="320" w:lineRule="exact"/>
              <w:jc w:val="center"/>
              <w:rPr>
                <w:szCs w:val="20"/>
              </w:rPr>
            </w:pPr>
            <w:r>
              <w:rPr>
                <w:szCs w:val="20"/>
              </w:rPr>
              <w:t>15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3.285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snapToGrid w:val="0"/>
              <w:spacing w:line="360" w:lineRule="exact"/>
              <w:ind w:firstLine="420" w:firstLineChars="200"/>
            </w:pPr>
            <w:r>
              <w:rPr>
                <w:rFonts w:hint="eastAsia"/>
              </w:rPr>
              <w:t>该入河排污口对应的责任主体</w:t>
            </w:r>
            <w:r>
              <w:rPr>
                <w:rFonts w:hint="eastAsia" w:ascii="宋体" w:hAnsi="宋体"/>
                <w:kern w:val="0"/>
                <w:szCs w:val="21"/>
              </w:rPr>
              <w:t>宁陕县住房和城乡建设局</w:t>
            </w:r>
            <w:r>
              <w:rPr>
                <w:rFonts w:hint="eastAsia"/>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rFonts w:hint="eastAsia"/>
                <w:lang w:eastAsia="zh-CN"/>
              </w:rPr>
            </w:pPr>
            <w:r>
              <w:rPr>
                <w:rFonts w:hint="eastAsia" w:ascii="Times New Roman" w:hAnsi="Times New Roman" w:eastAsia="宋体"/>
                <w:kern w:val="2"/>
                <w:sz w:val="21"/>
                <w:szCs w:val="22"/>
                <w:lang w:eastAsia="zh-CN"/>
              </w:rPr>
              <w:t>水生态环境保护措施：</w:t>
            </w:r>
          </w:p>
          <w:p>
            <w:pPr>
              <w:pStyle w:val="10"/>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ascii="Times New Roman" w:hAnsi="Times New Roman" w:eastAsia="宋体"/>
                <w:kern w:val="2"/>
                <w:sz w:val="21"/>
                <w:szCs w:val="22"/>
                <w:lang w:eastAsia="zh-CN"/>
              </w:rPr>
              <w:t>加强</w:t>
            </w:r>
            <w:r>
              <w:rPr>
                <w:rFonts w:hint="eastAsia" w:ascii="Times New Roman" w:hAnsi="Times New Roman" w:eastAsia="宋体"/>
                <w:kern w:val="2"/>
                <w:sz w:val="21"/>
                <w:szCs w:val="22"/>
                <w:lang w:eastAsia="zh-CN"/>
              </w:rPr>
              <w:t>项目</w:t>
            </w:r>
            <w:r>
              <w:rPr>
                <w:rFonts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8945" w:type="dxa"/>
            <w:gridSpan w:val="7"/>
          </w:tcPr>
          <w:p>
            <w:pPr>
              <w:pStyle w:val="10"/>
              <w:snapToGrid w:val="0"/>
              <w:spacing w:before="0" w:line="360" w:lineRule="exact"/>
              <w:ind w:left="0"/>
              <w:jc w:val="both"/>
              <w:rPr>
                <w:rFonts w:hint="eastAsia"/>
                <w:szCs w:val="20"/>
                <w:lang w:eastAsia="zh-CN"/>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pStyle w:val="10"/>
        <w:adjustRightInd w:val="0"/>
        <w:spacing w:before="0" w:line="360" w:lineRule="exact"/>
        <w:ind w:right="107" w:firstLine="600"/>
        <w:jc w:val="right"/>
        <w:rPr>
          <w:rFonts w:hint="eastAsia" w:ascii="Times New Roman" w:hAnsi="Times New Roman" w:eastAsia="宋体"/>
          <w:sz w:val="21"/>
          <w:szCs w:val="21"/>
          <w:lang w:eastAsia="zh-CN"/>
        </w:rPr>
      </w:pPr>
    </w:p>
    <w:p>
      <w:pPr>
        <w:pStyle w:val="10"/>
        <w:adjustRightInd w:val="0"/>
        <w:spacing w:before="0" w:line="360" w:lineRule="exact"/>
        <w:ind w:right="107" w:firstLine="600"/>
        <w:jc w:val="right"/>
        <w:rPr>
          <w:rFonts w:hint="eastAsia" w:ascii="Times New Roman" w:hAnsi="Times New Roman" w:eastAsia="宋体"/>
          <w:sz w:val="21"/>
          <w:szCs w:val="21"/>
          <w:lang w:eastAsia="zh-CN"/>
        </w:rPr>
      </w:pPr>
      <w:bookmarkStart w:id="1" w:name="_GoBack"/>
      <w:r>
        <w:drawing>
          <wp:anchor distT="0" distB="0" distL="114300" distR="114300" simplePos="0" relativeHeight="251662336" behindDoc="1" locked="0" layoutInCell="1" allowOverlap="1">
            <wp:simplePos x="0" y="0"/>
            <wp:positionH relativeFrom="column">
              <wp:posOffset>3928110</wp:posOffset>
            </wp:positionH>
            <wp:positionV relativeFrom="paragraph">
              <wp:posOffset>97790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p>
    <w:p>
      <w:pPr>
        <w:pStyle w:val="10"/>
        <w:adjustRightInd w:val="0"/>
        <w:spacing w:before="0" w:line="360" w:lineRule="exact"/>
        <w:ind w:right="107" w:firstLine="600"/>
        <w:jc w:val="right"/>
        <w:rPr>
          <w:rFonts w:hint="eastAsia" w:ascii="Times New Roman" w:hAnsi="Times New Roman" w:eastAsia="宋体"/>
          <w:sz w:val="21"/>
          <w:szCs w:val="21"/>
          <w:lang w:eastAsia="zh-CN"/>
        </w:rPr>
      </w:pPr>
    </w:p>
    <w:p>
      <w:pPr>
        <w:pStyle w:val="10"/>
        <w:adjustRightInd w:val="0"/>
        <w:spacing w:before="0" w:line="360" w:lineRule="exact"/>
        <w:ind w:right="107" w:firstLine="600"/>
        <w:jc w:val="right"/>
        <w:rPr>
          <w:rFonts w:hint="eastAsia" w:ascii="宋体" w:hAnsi="宋体" w:eastAsia="宋体"/>
          <w:spacing w:val="-5"/>
          <w:sz w:val="21"/>
          <w:szCs w:val="21"/>
          <w:lang w:eastAsia="zh-CN"/>
        </w:rPr>
      </w:pPr>
      <w:r>
        <w:rPr>
          <w:rFonts w:hint="eastAsia" w:ascii="Times New Roman" w:hAnsi="Times New Roman" w:eastAsia="宋体"/>
          <w:sz w:val="21"/>
          <w:szCs w:val="21"/>
          <w:lang w:eastAsia="zh-CN"/>
        </w:rPr>
        <w:t>宁陕县行政审批服务局</w:t>
      </w:r>
    </w:p>
    <w:p>
      <w:pPr>
        <w:pStyle w:val="10"/>
        <w:spacing w:before="0" w:line="360" w:lineRule="exact"/>
        <w:jc w:val="right"/>
        <w:rPr>
          <w:rFonts w:hint="eastAsia"/>
          <w:lang w:eastAsia="zh-CN"/>
        </w:rPr>
      </w:pP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2025年</w:t>
      </w:r>
      <w:r>
        <w:rPr>
          <w:rFonts w:hint="eastAsia" w:ascii="Times New Roman" w:hAnsi="Times New Roman" w:eastAsia="宋体"/>
          <w:sz w:val="21"/>
          <w:szCs w:val="21"/>
          <w:lang w:eastAsia="zh-CN"/>
        </w:rPr>
        <w:t>3</w:t>
      </w:r>
      <w:r>
        <w:rPr>
          <w:rFonts w:ascii="Times New Roman" w:hAnsi="Times New Roman" w:eastAsia="宋体"/>
          <w:sz w:val="21"/>
          <w:szCs w:val="21"/>
          <w:lang w:eastAsia="zh-CN"/>
        </w:rPr>
        <w:t>月</w:t>
      </w:r>
      <w:r>
        <w:rPr>
          <w:rFonts w:hint="eastAsia" w:ascii="Times New Roman" w:hAnsi="Times New Roman" w:eastAsia="宋体"/>
          <w:sz w:val="21"/>
          <w:szCs w:val="21"/>
          <w:lang w:val="en-US" w:eastAsia="zh-CN"/>
        </w:rPr>
        <w:t>28</w:t>
      </w:r>
      <w:r>
        <w:rPr>
          <w:rFonts w:ascii="Times New Roman" w:hAnsi="Times New Roman" w:eastAsia="宋体"/>
          <w:sz w:val="21"/>
          <w:szCs w:val="21"/>
          <w:lang w:eastAsia="zh-CN"/>
        </w:rPr>
        <w:t>日</w:t>
      </w: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筒车湾</w:t>
      </w:r>
      <w:r>
        <w:rPr>
          <w:rFonts w:hint="eastAsia" w:ascii="宋体" w:hAnsi="宋体" w:eastAsia="宋体" w:cs="宋体"/>
          <w:color w:val="000000" w:themeColor="text1"/>
          <w:kern w:val="44"/>
          <w:szCs w:val="20"/>
          <w14:textFill>
            <w14:solidFill>
              <w14:schemeClr w14:val="tx1"/>
            </w14:solidFill>
          </w14:textFill>
        </w:rPr>
        <w:t>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1"/>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1"/>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1"/>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1"/>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1"/>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1"/>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1"/>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1"/>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1"/>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1"/>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1"/>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1"/>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1"/>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1"/>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1"/>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1"/>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1"/>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1"/>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049B"/>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46EEC"/>
    <w:rsid w:val="00647461"/>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3CDB"/>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B7A06"/>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4474"/>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6726"/>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4A59"/>
    <w:rsid w:val="00FA5BB6"/>
    <w:rsid w:val="00FA5CCC"/>
    <w:rsid w:val="00FA5E2C"/>
    <w:rsid w:val="00FA639F"/>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4472A79"/>
    <w:rsid w:val="04B90BF3"/>
    <w:rsid w:val="05034C75"/>
    <w:rsid w:val="05FF0E6A"/>
    <w:rsid w:val="067D17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1215FEA"/>
    <w:rsid w:val="11E235C3"/>
    <w:rsid w:val="12DA28E8"/>
    <w:rsid w:val="13565192"/>
    <w:rsid w:val="1398780B"/>
    <w:rsid w:val="158F4E06"/>
    <w:rsid w:val="15FE3B78"/>
    <w:rsid w:val="16041350"/>
    <w:rsid w:val="172F68E4"/>
    <w:rsid w:val="17552FD9"/>
    <w:rsid w:val="179D1A5D"/>
    <w:rsid w:val="17B86E19"/>
    <w:rsid w:val="18185587"/>
    <w:rsid w:val="18291542"/>
    <w:rsid w:val="186407CC"/>
    <w:rsid w:val="18F37B77"/>
    <w:rsid w:val="19F1336E"/>
    <w:rsid w:val="19FBB57E"/>
    <w:rsid w:val="1AB84C4F"/>
    <w:rsid w:val="1AE3E9B7"/>
    <w:rsid w:val="1B124510"/>
    <w:rsid w:val="1B2D8937"/>
    <w:rsid w:val="1BDD2BE1"/>
    <w:rsid w:val="1C63577B"/>
    <w:rsid w:val="1CDF53C0"/>
    <w:rsid w:val="1D596D99"/>
    <w:rsid w:val="1E202CF1"/>
    <w:rsid w:val="1F9A4CB0"/>
    <w:rsid w:val="20C5525C"/>
    <w:rsid w:val="20D83B05"/>
    <w:rsid w:val="21512926"/>
    <w:rsid w:val="22207FFF"/>
    <w:rsid w:val="23BC326A"/>
    <w:rsid w:val="23EBF95F"/>
    <w:rsid w:val="24074DC2"/>
    <w:rsid w:val="240E19B7"/>
    <w:rsid w:val="25903571"/>
    <w:rsid w:val="26094761"/>
    <w:rsid w:val="264D0715"/>
    <w:rsid w:val="272555CB"/>
    <w:rsid w:val="274F0C47"/>
    <w:rsid w:val="27FC0E69"/>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97125F"/>
    <w:rsid w:val="37D7D64D"/>
    <w:rsid w:val="37DD58B2"/>
    <w:rsid w:val="37E6C5A9"/>
    <w:rsid w:val="37ED9385"/>
    <w:rsid w:val="37FE66BC"/>
    <w:rsid w:val="37FE75B6"/>
    <w:rsid w:val="381C424B"/>
    <w:rsid w:val="3862042D"/>
    <w:rsid w:val="388D536B"/>
    <w:rsid w:val="38936487"/>
    <w:rsid w:val="389F4E2A"/>
    <w:rsid w:val="39836E80"/>
    <w:rsid w:val="39FB7351"/>
    <w:rsid w:val="3A797CAF"/>
    <w:rsid w:val="3ACBD264"/>
    <w:rsid w:val="3AD7394F"/>
    <w:rsid w:val="3B6224F2"/>
    <w:rsid w:val="3BB93E68"/>
    <w:rsid w:val="3BBF513D"/>
    <w:rsid w:val="3BDB07BA"/>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3E06AE"/>
    <w:rsid w:val="419B49AF"/>
    <w:rsid w:val="42005B16"/>
    <w:rsid w:val="42E47C90"/>
    <w:rsid w:val="430622FC"/>
    <w:rsid w:val="43EB2EA4"/>
    <w:rsid w:val="442246DB"/>
    <w:rsid w:val="44594933"/>
    <w:rsid w:val="4484797D"/>
    <w:rsid w:val="44C8791D"/>
    <w:rsid w:val="450F36EA"/>
    <w:rsid w:val="45B24076"/>
    <w:rsid w:val="46467707"/>
    <w:rsid w:val="467B6220"/>
    <w:rsid w:val="47522184"/>
    <w:rsid w:val="47D41179"/>
    <w:rsid w:val="493556E9"/>
    <w:rsid w:val="4976569D"/>
    <w:rsid w:val="49BA48C9"/>
    <w:rsid w:val="49CF1E07"/>
    <w:rsid w:val="4ABE4612"/>
    <w:rsid w:val="4B4E0679"/>
    <w:rsid w:val="4BB22BD9"/>
    <w:rsid w:val="4C044E4F"/>
    <w:rsid w:val="4D1D4262"/>
    <w:rsid w:val="4D1F0243"/>
    <w:rsid w:val="4D3B4D64"/>
    <w:rsid w:val="4DBE96BF"/>
    <w:rsid w:val="4E3F6FA8"/>
    <w:rsid w:val="4E53210E"/>
    <w:rsid w:val="4E761A7B"/>
    <w:rsid w:val="4EFDF4D7"/>
    <w:rsid w:val="4FA233AD"/>
    <w:rsid w:val="4FFF2D6A"/>
    <w:rsid w:val="50227C85"/>
    <w:rsid w:val="50D97BF5"/>
    <w:rsid w:val="510C05F6"/>
    <w:rsid w:val="51164E29"/>
    <w:rsid w:val="51663C9A"/>
    <w:rsid w:val="51774FE5"/>
    <w:rsid w:val="51D43D07"/>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3576ED"/>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A364B9"/>
    <w:rsid w:val="63BE1555"/>
    <w:rsid w:val="63FA6B1B"/>
    <w:rsid w:val="647F13A0"/>
    <w:rsid w:val="64B79261"/>
    <w:rsid w:val="64D33A17"/>
    <w:rsid w:val="64D37E39"/>
    <w:rsid w:val="658E3D60"/>
    <w:rsid w:val="65D379C4"/>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E6DAF"/>
    <w:rsid w:val="6FDFA327"/>
    <w:rsid w:val="6FEF813C"/>
    <w:rsid w:val="6FFEBBA4"/>
    <w:rsid w:val="6FFF2EE4"/>
    <w:rsid w:val="70657DB3"/>
    <w:rsid w:val="706933FF"/>
    <w:rsid w:val="708E10B8"/>
    <w:rsid w:val="70D2143C"/>
    <w:rsid w:val="71B9DEF1"/>
    <w:rsid w:val="71D68E8F"/>
    <w:rsid w:val="72A619EF"/>
    <w:rsid w:val="72BD28C7"/>
    <w:rsid w:val="72E07771"/>
    <w:rsid w:val="734F0FD2"/>
    <w:rsid w:val="737415B2"/>
    <w:rsid w:val="737782FA"/>
    <w:rsid w:val="73C14060"/>
    <w:rsid w:val="73FE15E2"/>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B78283"/>
    <w:rsid w:val="79D0253E"/>
    <w:rsid w:val="79EFA7F3"/>
    <w:rsid w:val="79F7B33A"/>
    <w:rsid w:val="7A3C1589"/>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EF9F7E7"/>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1"/>
    <w:unhideWhenUsed/>
    <w:qFormat/>
    <w:uiPriority w:val="99"/>
    <w:rPr>
      <w:b/>
      <w:bCs/>
    </w:rPr>
  </w:style>
  <w:style w:type="paragraph" w:styleId="7">
    <w:name w:val="annotation text"/>
    <w:basedOn w:val="1"/>
    <w:link w:val="42"/>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3"/>
    <w:qFormat/>
    <w:uiPriority w:val="0"/>
    <w:rPr>
      <w:szCs w:val="20"/>
      <w:lang w:bidi="mn-Mong-CN"/>
    </w:rPr>
  </w:style>
  <w:style w:type="paragraph" w:styleId="10">
    <w:name w:val="Body Text"/>
    <w:basedOn w:val="1"/>
    <w:next w:val="1"/>
    <w:link w:val="38"/>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4"/>
    <w:unhideWhenUsed/>
    <w:qFormat/>
    <w:uiPriority w:val="99"/>
    <w:pPr>
      <w:ind w:left="100" w:leftChars="2500"/>
    </w:pPr>
  </w:style>
  <w:style w:type="paragraph" w:styleId="15">
    <w:name w:val="Body Text Indent 2"/>
    <w:basedOn w:val="1"/>
    <w:link w:val="45"/>
    <w:qFormat/>
    <w:uiPriority w:val="0"/>
    <w:pPr>
      <w:spacing w:after="120" w:line="480" w:lineRule="auto"/>
      <w:ind w:left="420" w:leftChars="200" w:firstLine="200" w:firstLineChars="200"/>
    </w:pPr>
    <w:rPr>
      <w:szCs w:val="24"/>
    </w:rPr>
  </w:style>
  <w:style w:type="paragraph" w:styleId="16">
    <w:name w:val="endnote text"/>
    <w:basedOn w:val="1"/>
    <w:link w:val="46"/>
    <w:unhideWhenUsed/>
    <w:qFormat/>
    <w:uiPriority w:val="99"/>
    <w:pPr>
      <w:snapToGrid w:val="0"/>
      <w:jc w:val="left"/>
    </w:pPr>
  </w:style>
  <w:style w:type="paragraph" w:styleId="17">
    <w:name w:val="Balloon Text"/>
    <w:basedOn w:val="1"/>
    <w:link w:val="47"/>
    <w:unhideWhenUsed/>
    <w:qFormat/>
    <w:uiPriority w:val="99"/>
    <w:rPr>
      <w:sz w:val="18"/>
      <w:szCs w:val="18"/>
    </w:rPr>
  </w:style>
  <w:style w:type="paragraph" w:styleId="18">
    <w:name w:val="footer"/>
    <w:basedOn w:val="1"/>
    <w:link w:val="4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0"/>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9">
    <w:name w:val="Strong"/>
    <w:qFormat/>
    <w:uiPriority w:val="22"/>
    <w:rPr>
      <w:b/>
      <w:bCs/>
    </w:rPr>
  </w:style>
  <w:style w:type="character" w:styleId="30">
    <w:name w:val="endnote reference"/>
    <w:unhideWhenUsed/>
    <w:qFormat/>
    <w:uiPriority w:val="99"/>
    <w:rPr>
      <w:vertAlign w:val="superscript"/>
    </w:rPr>
  </w:style>
  <w:style w:type="character" w:styleId="31">
    <w:name w:val="page number"/>
    <w:qFormat/>
    <w:uiPriority w:val="0"/>
    <w:rPr>
      <w:rFonts w:ascii="Times New Roman" w:hAnsi="Times New Roman" w:eastAsia="宋体"/>
      <w:sz w:val="18"/>
    </w:rPr>
  </w:style>
  <w:style w:type="character" w:styleId="32">
    <w:name w:val="Emphasis"/>
    <w:qFormat/>
    <w:uiPriority w:val="20"/>
    <w:rPr>
      <w:i/>
    </w:rPr>
  </w:style>
  <w:style w:type="character" w:styleId="33">
    <w:name w:val="Hyperlink"/>
    <w:basedOn w:val="28"/>
    <w:unhideWhenUsed/>
    <w:qFormat/>
    <w:uiPriority w:val="99"/>
    <w:rPr>
      <w:color w:val="0563C1"/>
      <w:u w:val="single"/>
    </w:rPr>
  </w:style>
  <w:style w:type="character" w:styleId="34">
    <w:name w:val="annotation reference"/>
    <w:unhideWhenUsed/>
    <w:qFormat/>
    <w:uiPriority w:val="99"/>
    <w:rPr>
      <w:sz w:val="21"/>
      <w:szCs w:val="21"/>
    </w:rPr>
  </w:style>
  <w:style w:type="character" w:styleId="35">
    <w:name w:val="footnote reference"/>
    <w:unhideWhenUsed/>
    <w:qFormat/>
    <w:uiPriority w:val="99"/>
    <w:rPr>
      <w:vertAlign w:val="superscript"/>
    </w:rPr>
  </w:style>
  <w:style w:type="table" w:styleId="37">
    <w:name w:val="Table Grid"/>
    <w:basedOn w:val="36"/>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正文文本 字符1"/>
    <w:link w:val="10"/>
    <w:qFormat/>
    <w:uiPriority w:val="0"/>
    <w:rPr>
      <w:rFonts w:ascii="仿宋_GB2312" w:hAnsi="仿宋_GB2312" w:eastAsia="仿宋_GB2312" w:cs="Times New Roman"/>
      <w:sz w:val="30"/>
      <w:szCs w:val="30"/>
      <w:lang w:eastAsia="en-US" w:bidi="ar-SA"/>
    </w:rPr>
  </w:style>
  <w:style w:type="character" w:customStyle="1" w:styleId="39">
    <w:name w:val="标题 1 字符1"/>
    <w:link w:val="2"/>
    <w:qFormat/>
    <w:uiPriority w:val="0"/>
    <w:rPr>
      <w:rFonts w:ascii="等线" w:hAnsi="等线" w:eastAsia="等线" w:cs="Times New Roman"/>
      <w:b/>
      <w:bCs/>
      <w:kern w:val="44"/>
      <w:sz w:val="44"/>
      <w:szCs w:val="44"/>
      <w:lang w:bidi="ar-SA"/>
    </w:rPr>
  </w:style>
  <w:style w:type="character" w:customStyle="1" w:styleId="40">
    <w:name w:val="标题 2 字符"/>
    <w:link w:val="3"/>
    <w:qFormat/>
    <w:uiPriority w:val="9"/>
    <w:rPr>
      <w:rFonts w:ascii="Calibri Light" w:hAnsi="Calibri Light" w:eastAsia="宋体" w:cs="Mongolian Baiti"/>
      <w:b/>
      <w:bCs/>
      <w:sz w:val="32"/>
      <w:szCs w:val="32"/>
      <w:lang w:bidi="ar-SA"/>
    </w:rPr>
  </w:style>
  <w:style w:type="character" w:customStyle="1" w:styleId="41">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42">
    <w:name w:val="批注文字 字符"/>
    <w:link w:val="7"/>
    <w:qFormat/>
    <w:uiPriority w:val="99"/>
    <w:rPr>
      <w:rFonts w:ascii="Times New Roman" w:hAnsi="Times New Roman" w:eastAsia="宋体" w:cs="Times New Roman"/>
      <w:szCs w:val="22"/>
      <w:lang w:bidi="ar-SA"/>
    </w:rPr>
  </w:style>
  <w:style w:type="character" w:customStyle="1" w:styleId="43">
    <w:name w:val="称呼 字符"/>
    <w:link w:val="9"/>
    <w:qFormat/>
    <w:uiPriority w:val="0"/>
    <w:rPr>
      <w:rFonts w:ascii="Times New Roman" w:hAnsi="Times New Roman" w:eastAsia="宋体" w:cs="Times New Roman"/>
      <w:kern w:val="2"/>
      <w:sz w:val="21"/>
    </w:rPr>
  </w:style>
  <w:style w:type="character" w:customStyle="1" w:styleId="44">
    <w:name w:val="日期 字符"/>
    <w:link w:val="14"/>
    <w:semiHidden/>
    <w:qFormat/>
    <w:uiPriority w:val="99"/>
    <w:rPr>
      <w:rFonts w:ascii="Times New Roman" w:hAnsi="Times New Roman" w:eastAsia="宋体" w:cs="Times New Roman"/>
      <w:kern w:val="2"/>
      <w:sz w:val="21"/>
      <w:szCs w:val="22"/>
      <w:lang w:bidi="ar-SA"/>
    </w:rPr>
  </w:style>
  <w:style w:type="character" w:customStyle="1" w:styleId="45">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6">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7">
    <w:name w:val="批注框文本 字符"/>
    <w:link w:val="17"/>
    <w:semiHidden/>
    <w:qFormat/>
    <w:uiPriority w:val="99"/>
    <w:rPr>
      <w:rFonts w:ascii="Times New Roman" w:hAnsi="Times New Roman" w:eastAsia="宋体" w:cs="Times New Roman"/>
      <w:sz w:val="18"/>
      <w:szCs w:val="18"/>
      <w:lang w:bidi="ar-SA"/>
    </w:rPr>
  </w:style>
  <w:style w:type="character" w:customStyle="1" w:styleId="48">
    <w:name w:val="页脚 字符"/>
    <w:link w:val="18"/>
    <w:qFormat/>
    <w:uiPriority w:val="99"/>
    <w:rPr>
      <w:rFonts w:ascii="等线" w:hAnsi="等线" w:eastAsia="等线" w:cs="Times New Roman"/>
      <w:sz w:val="18"/>
      <w:szCs w:val="18"/>
      <w:lang w:bidi="ar-SA"/>
    </w:rPr>
  </w:style>
  <w:style w:type="character" w:customStyle="1" w:styleId="49">
    <w:name w:val="页眉 字符"/>
    <w:link w:val="19"/>
    <w:qFormat/>
    <w:uiPriority w:val="99"/>
    <w:rPr>
      <w:kern w:val="2"/>
      <w:sz w:val="18"/>
      <w:szCs w:val="18"/>
      <w:lang w:bidi="ar-SA"/>
    </w:rPr>
  </w:style>
  <w:style w:type="character" w:customStyle="1" w:styleId="50">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1">
    <w:name w:val="批注主题 字符"/>
    <w:link w:val="6"/>
    <w:semiHidden/>
    <w:qFormat/>
    <w:uiPriority w:val="99"/>
    <w:rPr>
      <w:rFonts w:ascii="Times New Roman" w:hAnsi="Times New Roman" w:eastAsia="宋体" w:cs="Times New Roman"/>
      <w:b/>
      <w:bCs/>
      <w:szCs w:val="22"/>
      <w:lang w:bidi="ar-SA"/>
    </w:rPr>
  </w:style>
  <w:style w:type="character" w:customStyle="1" w:styleId="52">
    <w:name w:val="标题 1 Char"/>
    <w:qFormat/>
    <w:uiPriority w:val="0"/>
    <w:rPr>
      <w:rFonts w:ascii="Times New Roman" w:hAnsi="Times New Roman" w:eastAsia="宋体" w:cs="Times New Roman"/>
      <w:b/>
      <w:bCs/>
      <w:kern w:val="44"/>
      <w:sz w:val="44"/>
      <w:szCs w:val="44"/>
      <w:lang w:bidi="ar-SA"/>
    </w:rPr>
  </w:style>
  <w:style w:type="paragraph" w:customStyle="1" w:styleId="53">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4">
    <w:name w:val="导则标题2"/>
    <w:basedOn w:val="3"/>
    <w:link w:val="55"/>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5">
    <w:name w:val="导则标题2 Char"/>
    <w:link w:val="54"/>
    <w:qFormat/>
    <w:uiPriority w:val="0"/>
    <w:rPr>
      <w:rFonts w:ascii="黑体" w:hAnsi="黑体" w:eastAsia="黑体" w:cs="Times New Roman"/>
      <w:bCs/>
      <w:sz w:val="24"/>
      <w:szCs w:val="24"/>
      <w:lang w:val="zh-CN" w:eastAsia="zh-CN" w:bidi="ar-SA"/>
    </w:rPr>
  </w:style>
  <w:style w:type="paragraph" w:customStyle="1" w:styleId="56">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7">
    <w:name w:val="正文文本 Char"/>
    <w:semiHidden/>
    <w:qFormat/>
    <w:uiPriority w:val="99"/>
    <w:rPr>
      <w:rFonts w:ascii="Times New Roman" w:hAnsi="Times New Roman" w:eastAsia="宋体" w:cs="Times New Roman"/>
      <w:kern w:val="2"/>
      <w:sz w:val="21"/>
      <w:szCs w:val="22"/>
      <w:lang w:bidi="ar-SA"/>
    </w:rPr>
  </w:style>
  <w:style w:type="paragraph" w:customStyle="1" w:styleId="58">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59">
    <w:name w:val="页脚 Char"/>
    <w:semiHidden/>
    <w:qFormat/>
    <w:uiPriority w:val="99"/>
    <w:rPr>
      <w:rFonts w:ascii="Times New Roman" w:hAnsi="Times New Roman" w:eastAsia="宋体" w:cs="Times New Roman"/>
      <w:kern w:val="2"/>
      <w:sz w:val="18"/>
      <w:szCs w:val="18"/>
      <w:lang w:bidi="ar-SA"/>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_Style 30"/>
    <w:basedOn w:val="1"/>
    <w:next w:val="1"/>
    <w:unhideWhenUsed/>
    <w:qFormat/>
    <w:uiPriority w:val="39"/>
    <w:pPr>
      <w:spacing w:before="120" w:after="120"/>
      <w:jc w:val="left"/>
    </w:pPr>
    <w:rPr>
      <w:rFonts w:ascii="等线" w:hAnsi="等线" w:eastAsia="等线"/>
      <w:b/>
      <w:bCs/>
      <w:caps/>
      <w:sz w:val="20"/>
      <w:szCs w:val="20"/>
    </w:rPr>
  </w:style>
  <w:style w:type="character" w:customStyle="1" w:styleId="63">
    <w:name w:val="标题 1 字符"/>
    <w:qFormat/>
    <w:uiPriority w:val="0"/>
    <w:rPr>
      <w:b/>
      <w:bCs/>
      <w:kern w:val="44"/>
      <w:sz w:val="44"/>
      <w:szCs w:val="44"/>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79">
    <w:name w:val="标题 2 Char"/>
    <w:qFormat/>
    <w:uiPriority w:val="0"/>
    <w:rPr>
      <w:rFonts w:ascii="楷体_GB2312" w:hAnsi="Times New Roman" w:eastAsia="楷体_GB2312" w:cs="Times New Roman"/>
      <w:kern w:val="2"/>
      <w:sz w:val="32"/>
      <w:szCs w:val="32"/>
    </w:rPr>
  </w:style>
  <w:style w:type="paragraph" w:customStyle="1" w:styleId="80">
    <w:name w:val="_Style 76"/>
    <w:basedOn w:val="1"/>
    <w:next w:val="81"/>
    <w:qFormat/>
    <w:uiPriority w:val="34"/>
    <w:pPr>
      <w:ind w:firstLine="420" w:firstLineChars="200"/>
    </w:pPr>
    <w:rPr>
      <w:rFonts w:ascii="等线" w:hAnsi="等线" w:eastAsia="等线"/>
    </w:rPr>
  </w:style>
  <w:style w:type="paragraph" w:styleId="81">
    <w:name w:val="List Paragraph"/>
    <w:basedOn w:val="1"/>
    <w:qFormat/>
    <w:uiPriority w:val="99"/>
    <w:pPr>
      <w:ind w:firstLine="420" w:firstLineChars="200"/>
    </w:pPr>
  </w:style>
  <w:style w:type="paragraph" w:customStyle="1" w:styleId="82">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3">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4">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5">
    <w:name w:val="Char1"/>
    <w:basedOn w:val="1"/>
    <w:qFormat/>
    <w:uiPriority w:val="0"/>
    <w:rPr>
      <w:szCs w:val="24"/>
    </w:rPr>
  </w:style>
  <w:style w:type="paragraph" w:customStyle="1" w:styleId="86">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8">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9">
    <w:name w:val="标题 4 字符"/>
    <w:basedOn w:val="28"/>
    <w:link w:val="5"/>
    <w:qFormat/>
    <w:uiPriority w:val="0"/>
    <w:rPr>
      <w:rFonts w:asciiTheme="majorHAnsi" w:hAnsiTheme="majorHAnsi" w:eastAsiaTheme="majorEastAsia" w:cstheme="majorBidi"/>
      <w:b/>
      <w:bCs/>
      <w:kern w:val="2"/>
      <w:sz w:val="28"/>
      <w:szCs w:val="28"/>
    </w:rPr>
  </w:style>
  <w:style w:type="paragraph" w:customStyle="1" w:styleId="90">
    <w:name w:val="Char2"/>
    <w:basedOn w:val="1"/>
    <w:qFormat/>
    <w:uiPriority w:val="0"/>
    <w:rPr>
      <w:szCs w:val="24"/>
    </w:rPr>
  </w:style>
  <w:style w:type="paragraph" w:customStyle="1" w:styleId="91">
    <w:name w:val="Char3"/>
    <w:basedOn w:val="1"/>
    <w:qFormat/>
    <w:uiPriority w:val="0"/>
    <w:rPr>
      <w:szCs w:val="24"/>
    </w:rPr>
  </w:style>
  <w:style w:type="paragraph" w:customStyle="1" w:styleId="92">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2770</Words>
  <Characters>3052</Characters>
  <Lines>22</Lines>
  <Paragraphs>6</Paragraphs>
  <TotalTime>0</TotalTime>
  <ScaleCrop>false</ScaleCrop>
  <LinksUpToDate>false</LinksUpToDate>
  <CharactersWithSpaces>3167</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2025-03-28T09:19:00Z</cp:lastPrinted>
  <dcterms:modified xsi:type="dcterms:W3CDTF">2025-03-28T18:11:52Z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4C2B3C3AEFE1414D99D7424E4AD8E8AE_13</vt:lpwstr>
  </property>
  <property fmtid="{D5CDD505-2E9C-101B-9397-08002B2CF9AE}" pid="4" name="KSOTemplateDocerSaveRecord">
    <vt:lpwstr>eyJoZGlkIjoiNGY1NDE1MzQ5OTI2ZTAxMDBjYjRmM2RkYzlhM2Y5MTUifQ==</vt:lpwstr>
  </property>
</Properties>
</file>